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评审办法</w:t>
      </w:r>
    </w:p>
    <w:p>
      <w:pPr>
        <w:keepNext/>
        <w:keepLines/>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1"/>
        <w:rPr>
          <w:rFonts w:hint="eastAsia" w:ascii="Times New Roman" w:hAnsi="Times New Roman" w:eastAsia="黑体" w:cs="Times New Roman"/>
          <w:kern w:val="2"/>
          <w:sz w:val="32"/>
          <w:szCs w:val="32"/>
          <w:highlight w:val="none"/>
          <w:lang w:val="en-US" w:eastAsia="zh-CN" w:bidi="ar-SA"/>
        </w:rPr>
      </w:pPr>
      <w:bookmarkStart w:id="0" w:name="_GoBack"/>
      <w:bookmarkEnd w:id="0"/>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0"/>
        <w:gridCol w:w="2550"/>
        <w:gridCol w:w="378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700" w:type="dxa"/>
            <w:gridSpan w:val="2"/>
            <w:tcBorders>
              <w:tl2br w:val="nil"/>
              <w:tr2bl w:val="nil"/>
            </w:tcBorders>
            <w:noWrap w:val="0"/>
            <w:vAlign w:val="center"/>
          </w:tcPr>
          <w:p>
            <w:pPr>
              <w:widowControl w:val="0"/>
              <w:spacing w:after="160" w:line="0" w:lineRule="atLeast"/>
              <w:jc w:val="center"/>
              <w:rPr>
                <w:rFonts w:ascii="Arial" w:hAnsi="Arial" w:eastAsia="宋体" w:cs="Arial"/>
                <w:b/>
                <w:sz w:val="21"/>
                <w:szCs w:val="21"/>
                <w:lang w:val="en-US" w:eastAsia="en-US" w:bidi="ar-SA"/>
              </w:rPr>
            </w:pPr>
            <w:r>
              <w:rPr>
                <w:rFonts w:ascii="Arial" w:hAnsi="Arial" w:eastAsia="宋体" w:cs="Arial"/>
                <w:b/>
                <w:sz w:val="21"/>
                <w:szCs w:val="21"/>
                <w:lang w:val="en-US" w:eastAsia="en-US" w:bidi="ar-SA"/>
              </w:rPr>
              <w:t>条款号</w:t>
            </w: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b/>
                <w:sz w:val="21"/>
                <w:szCs w:val="21"/>
                <w:lang w:val="en-US" w:eastAsia="en-US" w:bidi="ar-SA"/>
              </w:rPr>
            </w:pPr>
            <w:r>
              <w:rPr>
                <w:rFonts w:ascii="Arial" w:hAnsi="Arial" w:eastAsia="宋体" w:cs="Arial"/>
                <w:b/>
                <w:sz w:val="21"/>
                <w:szCs w:val="21"/>
                <w:lang w:val="en-US" w:eastAsia="en-US" w:bidi="ar-SA"/>
              </w:rPr>
              <w:t>评分因素</w:t>
            </w:r>
          </w:p>
        </w:tc>
        <w:tc>
          <w:tcPr>
            <w:tcW w:w="3780" w:type="dxa"/>
            <w:tcBorders>
              <w:tl2br w:val="nil"/>
              <w:tr2bl w:val="nil"/>
            </w:tcBorders>
            <w:noWrap w:val="0"/>
            <w:vAlign w:val="center"/>
          </w:tcPr>
          <w:p>
            <w:pPr>
              <w:widowControl w:val="0"/>
              <w:spacing w:after="160" w:line="0" w:lineRule="atLeast"/>
              <w:jc w:val="center"/>
              <w:rPr>
                <w:rFonts w:ascii="Arial" w:hAnsi="Arial" w:eastAsia="宋体" w:cs="Arial"/>
                <w:b/>
                <w:sz w:val="21"/>
                <w:szCs w:val="21"/>
                <w:lang w:val="en-US" w:eastAsia="en-US" w:bidi="ar-SA"/>
              </w:rPr>
            </w:pPr>
            <w:r>
              <w:rPr>
                <w:rFonts w:ascii="Arial" w:hAnsi="Arial" w:eastAsia="宋体" w:cs="Arial"/>
                <w:b/>
                <w:sz w:val="21"/>
                <w:szCs w:val="21"/>
                <w:lang w:val="en-US" w:eastAsia="en-US" w:bidi="ar-SA"/>
              </w:rPr>
              <w:t>评分标准</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b/>
                <w:sz w:val="21"/>
                <w:szCs w:val="21"/>
                <w:lang w:val="en-US" w:eastAsia="en-US" w:bidi="ar-SA"/>
              </w:rPr>
            </w:pPr>
            <w:r>
              <w:rPr>
                <w:rFonts w:ascii="Arial" w:hAnsi="Arial" w:eastAsia="宋体" w:cs="Arial"/>
                <w:b/>
                <w:sz w:val="21"/>
                <w:szCs w:val="21"/>
                <w:lang w:val="en-US" w:eastAsia="en-US" w:bidi="ar-SA"/>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0" w:type="dxa"/>
            <w:vMerge w:val="restart"/>
            <w:tcBorders>
              <w:tl2br w:val="nil"/>
              <w:tr2bl w:val="nil"/>
            </w:tcBorders>
            <w:noWrap w:val="0"/>
            <w:vAlign w:val="center"/>
          </w:tcPr>
          <w:p>
            <w:pPr>
              <w:widowControl w:val="0"/>
              <w:spacing w:after="160" w:line="0" w:lineRule="atLeast"/>
              <w:jc w:val="center"/>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1</w:t>
            </w:r>
          </w:p>
        </w:tc>
        <w:tc>
          <w:tcPr>
            <w:tcW w:w="990" w:type="dxa"/>
            <w:vMerge w:val="restart"/>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商务部分评分标准(</w:t>
            </w:r>
            <w:r>
              <w:rPr>
                <w:rFonts w:hint="eastAsia" w:ascii="Arial" w:hAnsi="Arial" w:eastAsia="宋体" w:cs="Arial"/>
                <w:sz w:val="21"/>
                <w:szCs w:val="21"/>
                <w:highlight w:val="none"/>
                <w:u w:val="single"/>
                <w:lang w:val="en-US" w:eastAsia="zh-CN" w:bidi="ar-SA"/>
              </w:rPr>
              <w:t>15</w:t>
            </w:r>
            <w:r>
              <w:rPr>
                <w:rFonts w:ascii="Arial" w:hAnsi="Arial" w:eastAsia="宋体" w:cs="Arial"/>
                <w:sz w:val="21"/>
                <w:szCs w:val="21"/>
                <w:highlight w:val="none"/>
                <w:lang w:val="en-US" w:eastAsia="en-US" w:bidi="ar-SA"/>
              </w:rPr>
              <w:t>%)</w:t>
            </w: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lang w:val="en-US" w:eastAsia="zh-CN" w:bidi="ar-SA"/>
              </w:rPr>
              <w:t>报名材料</w:t>
            </w:r>
            <w:r>
              <w:rPr>
                <w:rFonts w:ascii="Arial" w:hAnsi="Arial" w:eastAsia="宋体" w:cs="Arial"/>
                <w:sz w:val="21"/>
                <w:szCs w:val="21"/>
                <w:highlight w:val="none"/>
                <w:lang w:val="en-US" w:eastAsia="en-US" w:bidi="ar-SA"/>
              </w:rPr>
              <w:t>的完整性</w:t>
            </w:r>
          </w:p>
        </w:tc>
        <w:tc>
          <w:tcPr>
            <w:tcW w:w="3780" w:type="dxa"/>
            <w:tcBorders>
              <w:tl2br w:val="nil"/>
              <w:tr2bl w:val="nil"/>
            </w:tcBorders>
            <w:noWrap w:val="0"/>
            <w:vAlign w:val="center"/>
          </w:tcPr>
          <w:p>
            <w:pPr>
              <w:widowControl w:val="0"/>
              <w:spacing w:after="160" w:line="0" w:lineRule="atLeast"/>
              <w:jc w:val="left"/>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shd w:val="clear" w:color="auto" w:fill="FFFFFF"/>
                <w:lang w:val="en-US" w:eastAsia="en-US" w:bidi="ar-SA"/>
              </w:rPr>
              <w:t>检查</w:t>
            </w:r>
            <w:r>
              <w:rPr>
                <w:rFonts w:hint="eastAsia" w:ascii="Arial" w:hAnsi="Arial" w:eastAsia="宋体" w:cs="Arial"/>
                <w:sz w:val="21"/>
                <w:szCs w:val="21"/>
                <w:highlight w:val="none"/>
                <w:lang w:val="en-US" w:eastAsia="zh-CN" w:bidi="ar-SA"/>
              </w:rPr>
              <w:t>报名材料</w:t>
            </w:r>
            <w:r>
              <w:rPr>
                <w:rFonts w:ascii="Arial" w:hAnsi="Arial" w:eastAsia="宋体" w:cs="Arial"/>
                <w:sz w:val="21"/>
                <w:szCs w:val="21"/>
                <w:highlight w:val="none"/>
                <w:lang w:val="en-US" w:eastAsia="en-US" w:bidi="ar-SA"/>
              </w:rPr>
              <w:t>的完整性</w:t>
            </w:r>
            <w:r>
              <w:rPr>
                <w:rFonts w:hint="eastAsia" w:ascii="Arial" w:hAnsi="Arial" w:eastAsia="宋体" w:cs="Arial"/>
                <w:sz w:val="21"/>
                <w:szCs w:val="21"/>
                <w:highlight w:val="none"/>
                <w:shd w:val="clear" w:color="auto" w:fill="FFFFFF"/>
                <w:lang w:val="en-US" w:eastAsia="en-US" w:bidi="ar-SA"/>
              </w:rPr>
              <w:t>。评分结果分为A～D四个档次。</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lang w:val="en-US" w:eastAsia="zh-CN" w:bidi="ar-SA"/>
              </w:rPr>
              <w:t>5</w:t>
            </w:r>
            <w:r>
              <w:rPr>
                <w:rFonts w:ascii="Arial" w:hAnsi="Arial" w:eastAsia="宋体" w:cs="Arial"/>
                <w:sz w:val="21"/>
                <w:szCs w:val="21"/>
                <w:highlight w:val="none"/>
                <w:lang w:val="en-US"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0" w:type="dxa"/>
            <w:vMerge w:val="continue"/>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p>
        </w:tc>
        <w:tc>
          <w:tcPr>
            <w:tcW w:w="990" w:type="dxa"/>
            <w:vMerge w:val="continue"/>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信用评价</w:t>
            </w:r>
          </w:p>
        </w:tc>
        <w:tc>
          <w:tcPr>
            <w:tcW w:w="3780" w:type="dxa"/>
            <w:tcBorders>
              <w:tl2br w:val="nil"/>
              <w:tr2bl w:val="nil"/>
            </w:tcBorders>
            <w:noWrap w:val="0"/>
            <w:vAlign w:val="center"/>
          </w:tcPr>
          <w:p>
            <w:pPr>
              <w:widowControl w:val="0"/>
              <w:spacing w:after="160" w:line="0" w:lineRule="atLeast"/>
              <w:jc w:val="left"/>
              <w:rPr>
                <w:rFonts w:ascii="Arial" w:hAnsi="Arial" w:eastAsia="宋体" w:cs="Arial"/>
                <w:sz w:val="21"/>
                <w:szCs w:val="21"/>
                <w:highlight w:val="none"/>
                <w:shd w:val="clear" w:color="auto" w:fill="FFFFFF"/>
                <w:lang w:val="en-US" w:eastAsia="zh-CN" w:bidi="ar-SA"/>
              </w:rPr>
            </w:pPr>
            <w:r>
              <w:rPr>
                <w:rFonts w:hint="eastAsia" w:ascii="Arial" w:hAnsi="Arial" w:eastAsia="宋体" w:cs="Arial"/>
                <w:sz w:val="21"/>
                <w:szCs w:val="21"/>
                <w:highlight w:val="none"/>
                <w:lang w:val="en-US" w:eastAsia="zh-CN" w:bidi="ar-SA"/>
              </w:rPr>
              <w:t>评审小组</w:t>
            </w:r>
            <w:r>
              <w:rPr>
                <w:rFonts w:ascii="Arial" w:hAnsi="Arial" w:eastAsia="宋体" w:cs="Arial"/>
                <w:sz w:val="21"/>
                <w:szCs w:val="21"/>
                <w:highlight w:val="none"/>
                <w:lang w:val="en-US" w:eastAsia="en-US" w:bidi="ar-SA"/>
              </w:rPr>
              <w:t>根据其以往业绩及在其他单位的合同履约情况合理确定本次评审信用等级</w:t>
            </w:r>
            <w:r>
              <w:rPr>
                <w:rFonts w:ascii="Arial" w:hAnsi="Arial" w:eastAsia="宋体" w:cs="Arial"/>
                <w:sz w:val="21"/>
                <w:szCs w:val="21"/>
                <w:highlight w:val="none"/>
                <w:shd w:val="clear" w:color="auto" w:fill="FFFFFF"/>
                <w:lang w:val="en-US" w:eastAsia="zh-CN" w:bidi="ar-SA"/>
              </w:rPr>
              <w:t>。</w:t>
            </w:r>
            <w:r>
              <w:rPr>
                <w:rFonts w:hint="eastAsia" w:ascii="Arial" w:hAnsi="Arial" w:eastAsia="宋体" w:cs="Arial"/>
                <w:sz w:val="21"/>
                <w:szCs w:val="21"/>
                <w:highlight w:val="none"/>
                <w:shd w:val="clear" w:color="auto" w:fill="FFFFFF"/>
                <w:lang w:val="en-US" w:eastAsia="zh-CN" w:bidi="ar-SA"/>
              </w:rPr>
              <w:t xml:space="preserve"> </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10</w:t>
            </w:r>
            <w:r>
              <w:rPr>
                <w:rFonts w:ascii="Arial" w:hAnsi="Arial" w:eastAsia="宋体" w:cs="Arial"/>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0" w:type="dxa"/>
            <w:tcBorders>
              <w:tl2br w:val="nil"/>
              <w:tr2bl w:val="nil"/>
            </w:tcBorders>
            <w:noWrap w:val="0"/>
            <w:vAlign w:val="center"/>
          </w:tcPr>
          <w:p>
            <w:pPr>
              <w:widowControl w:val="0"/>
              <w:spacing w:after="160" w:line="0" w:lineRule="atLeast"/>
              <w:jc w:val="center"/>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2</w:t>
            </w:r>
          </w:p>
        </w:tc>
        <w:tc>
          <w:tcPr>
            <w:tcW w:w="99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报价评分标准(</w:t>
            </w:r>
            <w:r>
              <w:rPr>
                <w:rFonts w:hint="eastAsia" w:ascii="Arial" w:hAnsi="Arial" w:eastAsia="宋体" w:cs="Arial"/>
                <w:sz w:val="21"/>
                <w:szCs w:val="21"/>
                <w:highlight w:val="none"/>
                <w:u w:val="single"/>
                <w:lang w:val="en-US" w:eastAsia="zh-CN" w:bidi="ar-SA"/>
              </w:rPr>
              <w:t>45</w:t>
            </w:r>
            <w:r>
              <w:rPr>
                <w:rFonts w:ascii="Arial" w:hAnsi="Arial" w:eastAsia="宋体" w:cs="Arial"/>
                <w:sz w:val="21"/>
                <w:szCs w:val="21"/>
                <w:highlight w:val="none"/>
                <w:lang w:val="en-US" w:eastAsia="en-US" w:bidi="ar-SA"/>
              </w:rPr>
              <w:t>%)</w:t>
            </w: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价格得分</w:t>
            </w:r>
          </w:p>
        </w:tc>
        <w:tc>
          <w:tcPr>
            <w:tcW w:w="3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Arial" w:hAnsi="Arial" w:eastAsia="宋体" w:cs="Arial"/>
                <w:sz w:val="21"/>
                <w:szCs w:val="21"/>
                <w:highlight w:val="none"/>
                <w:shd w:val="clear" w:color="auto" w:fill="FFFFFF"/>
                <w:lang w:val="en-US" w:eastAsia="en-US" w:bidi="ar-SA"/>
              </w:rPr>
            </w:pPr>
            <w:r>
              <w:rPr>
                <w:rFonts w:ascii="Arial" w:hAnsi="Arial" w:eastAsia="宋体" w:cs="Arial"/>
                <w:sz w:val="21"/>
                <w:szCs w:val="21"/>
                <w:highlight w:val="none"/>
                <w:shd w:val="clear" w:color="auto" w:fill="FFFFFF"/>
                <w:lang w:val="en-US" w:eastAsia="en-US" w:bidi="ar-SA"/>
              </w:rPr>
              <w:t>评审基准价</w:t>
            </w:r>
            <w:r>
              <w:rPr>
                <w:rFonts w:hint="eastAsia" w:ascii="Arial" w:hAnsi="Arial" w:eastAsia="宋体" w:cs="Arial"/>
                <w:sz w:val="21"/>
                <w:szCs w:val="21"/>
                <w:highlight w:val="none"/>
                <w:shd w:val="clear" w:color="auto" w:fill="FFFFFF"/>
                <w:lang w:val="en-US" w:eastAsia="zh-CN" w:bidi="ar-SA"/>
              </w:rPr>
              <w:t>（最高报价）</w:t>
            </w:r>
            <w:r>
              <w:rPr>
                <w:rFonts w:ascii="Arial" w:hAnsi="Arial" w:eastAsia="宋体" w:cs="Arial"/>
                <w:sz w:val="21"/>
                <w:szCs w:val="21"/>
                <w:highlight w:val="none"/>
                <w:shd w:val="clear" w:color="auto" w:fill="FFFFFF"/>
                <w:lang w:val="en-US" w:eastAsia="en-US" w:bidi="ar-SA"/>
              </w:rPr>
              <w:t>得满分</w:t>
            </w:r>
            <w:r>
              <w:rPr>
                <w:rFonts w:ascii="Arial" w:hAnsi="Arial" w:eastAsia="宋体" w:cs="Arial"/>
                <w:sz w:val="21"/>
                <w:szCs w:val="21"/>
                <w:highlight w:val="none"/>
                <w:lang w:val="en-US" w:eastAsia="en-US" w:bidi="ar-SA"/>
              </w:rPr>
              <w:t>，</w:t>
            </w:r>
            <w:r>
              <w:rPr>
                <w:rFonts w:ascii="Arial" w:hAnsi="Arial" w:eastAsia="宋体" w:cs="Arial"/>
                <w:sz w:val="21"/>
                <w:szCs w:val="21"/>
                <w:highlight w:val="none"/>
                <w:shd w:val="clear" w:color="auto" w:fill="FFFFFF"/>
                <w:lang w:val="en-US" w:eastAsia="en-US" w:bidi="ar-SA"/>
              </w:rPr>
              <w:t>其他的价格</w:t>
            </w:r>
            <w:r>
              <w:rPr>
                <w:rFonts w:ascii="Arial" w:hAnsi="Arial" w:eastAsia="宋体" w:cs="Arial"/>
                <w:sz w:val="21"/>
                <w:szCs w:val="21"/>
                <w:highlight w:val="none"/>
                <w:lang w:val="en-US" w:eastAsia="en-US" w:bidi="ar-SA"/>
              </w:rPr>
              <w:t>得分</w:t>
            </w:r>
            <w:r>
              <w:rPr>
                <w:rFonts w:ascii="Arial" w:hAnsi="Arial" w:eastAsia="宋体" w:cs="Arial"/>
                <w:sz w:val="21"/>
                <w:szCs w:val="21"/>
                <w:highlight w:val="none"/>
                <w:shd w:val="clear" w:color="auto" w:fill="FFFFFF"/>
                <w:lang w:val="en-US" w:eastAsia="en-US" w:bidi="ar-SA"/>
              </w:rPr>
              <w:t>统一按照下列公式计算：</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Arial" w:hAnsi="Arial" w:eastAsia="宋体" w:cs="Arial"/>
                <w:sz w:val="21"/>
                <w:szCs w:val="21"/>
                <w:highlight w:val="none"/>
                <w:shd w:val="clear" w:color="auto" w:fill="FFFFFF"/>
                <w:lang w:val="en-US" w:eastAsia="en-US" w:bidi="ar-SA"/>
              </w:rPr>
            </w:pPr>
            <w:r>
              <w:rPr>
                <w:rFonts w:ascii="Arial" w:hAnsi="Arial" w:eastAsia="宋体" w:cs="Arial"/>
                <w:sz w:val="21"/>
                <w:szCs w:val="21"/>
                <w:highlight w:val="none"/>
                <w:shd w:val="clear" w:color="auto" w:fill="FFFFFF"/>
                <w:lang w:val="en-US" w:eastAsia="en-US" w:bidi="ar-SA"/>
              </w:rPr>
              <w:t>报价得分=（</w:t>
            </w:r>
            <w:r>
              <w:rPr>
                <w:rFonts w:hint="eastAsia" w:ascii="Arial" w:hAnsi="Arial" w:cs="Arial"/>
                <w:sz w:val="21"/>
                <w:szCs w:val="21"/>
                <w:highlight w:val="none"/>
                <w:shd w:val="clear" w:color="auto" w:fill="FFFFFF"/>
                <w:lang w:val="en-US" w:eastAsia="zh-CN" w:bidi="ar-SA"/>
              </w:rPr>
              <w:t>客户报</w:t>
            </w:r>
            <w:r>
              <w:rPr>
                <w:rFonts w:ascii="Arial" w:hAnsi="Arial" w:eastAsia="宋体" w:cs="Arial"/>
                <w:sz w:val="21"/>
                <w:szCs w:val="21"/>
                <w:highlight w:val="none"/>
                <w:shd w:val="clear" w:color="auto" w:fill="FFFFFF"/>
                <w:lang w:val="en-US" w:eastAsia="zh-CN" w:bidi="ar-SA"/>
              </w:rPr>
              <w:t>价</w:t>
            </w:r>
            <w:r>
              <w:rPr>
                <w:rFonts w:ascii="Arial" w:hAnsi="Arial" w:eastAsia="宋体" w:cs="Arial"/>
                <w:sz w:val="21"/>
                <w:szCs w:val="21"/>
                <w:highlight w:val="none"/>
                <w:shd w:val="clear" w:color="auto" w:fill="FFFFFF"/>
                <w:lang w:val="en-US" w:eastAsia="en-US" w:bidi="ar-SA"/>
              </w:rPr>
              <w:t>÷评审基准价）×100</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Arial" w:hAnsi="Arial" w:eastAsia="宋体" w:cs="Arial"/>
                <w:sz w:val="21"/>
                <w:szCs w:val="21"/>
                <w:highlight w:val="none"/>
                <w:shd w:val="clear" w:color="auto" w:fill="FFFFFF"/>
                <w:lang w:val="en-US" w:eastAsia="zh-CN" w:bidi="ar-SA"/>
              </w:rPr>
            </w:pPr>
            <w:r>
              <w:rPr>
                <w:rFonts w:ascii="Arial" w:hAnsi="Arial" w:eastAsia="宋体" w:cs="Arial"/>
                <w:sz w:val="21"/>
                <w:szCs w:val="21"/>
                <w:highlight w:val="none"/>
                <w:shd w:val="clear" w:color="auto" w:fill="FFFFFF"/>
                <w:lang w:val="en-US" w:eastAsia="zh-CN" w:bidi="ar-SA"/>
              </w:rPr>
              <w:t>（经计算的报价得分不满60分的以60分计算）</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lang w:val="en-US" w:eastAsia="zh-CN" w:bidi="ar-SA"/>
              </w:rPr>
              <w:t>4</w:t>
            </w:r>
            <w:r>
              <w:rPr>
                <w:rFonts w:hint="eastAsia" w:ascii="Arial" w:hAnsi="Arial" w:eastAsia="宋体" w:cs="Arial"/>
                <w:sz w:val="21"/>
                <w:szCs w:val="21"/>
                <w:highlight w:val="none"/>
                <w:lang w:val="en-US" w:eastAsia="en-US" w:bidi="ar-SA"/>
              </w:rPr>
              <w:t>5</w:t>
            </w:r>
            <w:r>
              <w:rPr>
                <w:rFonts w:ascii="Arial" w:hAnsi="Arial" w:eastAsia="宋体" w:cs="Arial"/>
                <w:sz w:val="21"/>
                <w:szCs w:val="21"/>
                <w:highlight w:val="none"/>
                <w:lang w:val="en-US"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8" w:hRule="atLeast"/>
        </w:trPr>
        <w:tc>
          <w:tcPr>
            <w:tcW w:w="710" w:type="dxa"/>
            <w:vMerge w:val="restart"/>
            <w:tcBorders>
              <w:tl2br w:val="nil"/>
              <w:tr2bl w:val="nil"/>
            </w:tcBorders>
            <w:noWrap w:val="0"/>
            <w:vAlign w:val="center"/>
          </w:tcPr>
          <w:p>
            <w:pPr>
              <w:widowControl w:val="0"/>
              <w:spacing w:after="160" w:line="0" w:lineRule="atLeast"/>
              <w:jc w:val="center"/>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3</w:t>
            </w:r>
          </w:p>
        </w:tc>
        <w:tc>
          <w:tcPr>
            <w:tcW w:w="990" w:type="dxa"/>
            <w:vMerge w:val="restart"/>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ascii="Arial" w:hAnsi="Arial" w:eastAsia="宋体" w:cs="Arial"/>
                <w:sz w:val="21"/>
                <w:szCs w:val="21"/>
                <w:highlight w:val="none"/>
                <w:lang w:val="en-US" w:eastAsia="en-US" w:bidi="ar-SA"/>
              </w:rPr>
              <w:t>技术部分评分标准(</w:t>
            </w:r>
            <w:r>
              <w:rPr>
                <w:rFonts w:hint="eastAsia" w:ascii="Arial" w:hAnsi="Arial" w:eastAsia="宋体" w:cs="Arial"/>
                <w:sz w:val="21"/>
                <w:szCs w:val="21"/>
                <w:highlight w:val="none"/>
                <w:u w:val="single"/>
                <w:lang w:val="en-US" w:eastAsia="zh-CN" w:bidi="ar-SA"/>
              </w:rPr>
              <w:t>40</w:t>
            </w:r>
            <w:r>
              <w:rPr>
                <w:rFonts w:ascii="Arial" w:hAnsi="Arial" w:eastAsia="宋体" w:cs="Arial"/>
                <w:sz w:val="21"/>
                <w:szCs w:val="21"/>
                <w:highlight w:val="none"/>
                <w:lang w:val="en-US" w:eastAsia="en-US" w:bidi="ar-SA"/>
              </w:rPr>
              <w:t>%)</w:t>
            </w: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湿渣年均消纳、处置量</w:t>
            </w:r>
          </w:p>
        </w:tc>
        <w:tc>
          <w:tcPr>
            <w:tcW w:w="3780" w:type="dxa"/>
            <w:tcBorders>
              <w:tl2br w:val="nil"/>
              <w:tr2bl w:val="nil"/>
            </w:tcBorders>
            <w:noWrap w:val="0"/>
            <w:vAlign w:val="center"/>
          </w:tcPr>
          <w:p>
            <w:pPr>
              <w:widowControl w:val="0"/>
              <w:spacing w:after="160" w:line="0" w:lineRule="atLeast"/>
              <w:jc w:val="left"/>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对</w:t>
            </w:r>
            <w:r>
              <w:rPr>
                <w:rFonts w:hint="eastAsia" w:ascii="Arial" w:hAnsi="Arial" w:cs="Arial"/>
                <w:sz w:val="21"/>
                <w:szCs w:val="21"/>
                <w:highlight w:val="none"/>
                <w:lang w:val="en-US" w:eastAsia="zh-CN" w:bidi="ar-SA"/>
              </w:rPr>
              <w:t>客户</w:t>
            </w:r>
            <w:r>
              <w:rPr>
                <w:rFonts w:hint="eastAsia" w:ascii="Arial" w:hAnsi="Arial" w:eastAsia="宋体" w:cs="Arial"/>
                <w:sz w:val="21"/>
                <w:szCs w:val="21"/>
                <w:highlight w:val="none"/>
                <w:lang w:val="en-US" w:eastAsia="zh-CN" w:bidi="ar-SA"/>
              </w:rPr>
              <w:t>年均消纳、处置量进行评价。</w:t>
            </w:r>
          </w:p>
          <w:p>
            <w:pPr>
              <w:widowControl w:val="0"/>
              <w:spacing w:after="160" w:line="0" w:lineRule="atLeast"/>
              <w:jc w:val="left"/>
              <w:rPr>
                <w:rFonts w:hint="eastAsia" w:ascii="Arial" w:hAnsi="Arial" w:eastAsia="宋体" w:cs="Arial"/>
                <w:sz w:val="21"/>
                <w:szCs w:val="21"/>
                <w:highlight w:val="none"/>
                <w:lang w:val="en-US" w:eastAsia="zh-CN" w:bidi="ar-SA"/>
              </w:rPr>
            </w:pPr>
            <w:r>
              <w:rPr>
                <w:rFonts w:hint="eastAsia" w:ascii="Arial" w:hAnsi="Arial" w:cs="Arial"/>
                <w:sz w:val="21"/>
                <w:szCs w:val="21"/>
                <w:highlight w:val="none"/>
                <w:lang w:val="en-US" w:eastAsia="zh-CN" w:bidi="ar-SA"/>
              </w:rPr>
              <w:t>客户</w:t>
            </w:r>
            <w:r>
              <w:rPr>
                <w:rFonts w:hint="eastAsia" w:ascii="Arial" w:hAnsi="Arial" w:eastAsia="宋体" w:cs="Arial"/>
                <w:sz w:val="21"/>
                <w:szCs w:val="21"/>
                <w:highlight w:val="none"/>
                <w:lang w:val="en-US" w:eastAsia="zh-CN" w:bidi="ar-SA"/>
              </w:rPr>
              <w:t>的年均消纳、处置量为自身年消纳、处置</w:t>
            </w:r>
            <w:r>
              <w:rPr>
                <w:rFonts w:hint="eastAsia" w:ascii="Arial" w:hAnsi="Arial" w:cs="Arial"/>
                <w:sz w:val="21"/>
                <w:szCs w:val="21"/>
                <w:highlight w:val="none"/>
                <w:lang w:val="en-US" w:eastAsia="zh-CN" w:bidi="ar-SA"/>
              </w:rPr>
              <w:t>湿渣（炉渣）</w:t>
            </w:r>
            <w:r>
              <w:rPr>
                <w:rFonts w:hint="eastAsia" w:ascii="Arial" w:hAnsi="Arial" w:eastAsia="宋体" w:cs="Arial"/>
                <w:sz w:val="21"/>
                <w:szCs w:val="21"/>
                <w:highlight w:val="none"/>
                <w:lang w:val="en-US" w:eastAsia="zh-CN" w:bidi="ar-SA"/>
              </w:rPr>
              <w:t>量及其与终端用户、具备工业固废加工利用资质的单位已签订供货合同年均消纳、处置量。</w:t>
            </w:r>
          </w:p>
          <w:p>
            <w:pPr>
              <w:widowControl w:val="0"/>
              <w:spacing w:after="160" w:line="0" w:lineRule="atLeast"/>
              <w:jc w:val="left"/>
              <w:rPr>
                <w:rFonts w:hint="eastAsia"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需提供营业执照、供货合同等相关证明材料。</w:t>
            </w:r>
          </w:p>
          <w:p>
            <w:pPr>
              <w:widowControl w:val="0"/>
              <w:spacing w:after="160" w:line="0" w:lineRule="atLeast"/>
              <w:jc w:val="left"/>
              <w:rPr>
                <w:rFonts w:ascii="Arial" w:hAnsi="Arial" w:eastAsia="宋体" w:cs="Arial"/>
                <w:sz w:val="21"/>
                <w:szCs w:val="21"/>
                <w:highlight w:val="none"/>
                <w:lang w:val="en-US" w:eastAsia="zh-CN" w:bidi="ar-SA"/>
              </w:rPr>
            </w:pPr>
            <w:r>
              <w:rPr>
                <w:rFonts w:hint="eastAsia" w:ascii="Arial" w:hAnsi="Arial" w:eastAsia="宋体" w:cs="Arial"/>
                <w:sz w:val="21"/>
                <w:szCs w:val="21"/>
                <w:highlight w:val="none"/>
                <w:lang w:val="en-US" w:eastAsia="zh-CN" w:bidi="ar-SA"/>
              </w:rPr>
              <w:t>评分结果分为A～D四个档次。</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cs="Arial"/>
                <w:sz w:val="21"/>
                <w:szCs w:val="21"/>
                <w:highlight w:val="none"/>
                <w:lang w:val="en-US" w:eastAsia="zh-CN" w:bidi="ar-SA"/>
              </w:rPr>
              <w:t>30</w:t>
            </w:r>
            <w:r>
              <w:rPr>
                <w:rFonts w:ascii="Arial" w:hAnsi="Arial" w:eastAsia="宋体" w:cs="Arial"/>
                <w:sz w:val="21"/>
                <w:szCs w:val="21"/>
                <w:highlight w:val="none"/>
                <w:lang w:val="en-US"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710" w:type="dxa"/>
            <w:vMerge w:val="continue"/>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p>
        </w:tc>
        <w:tc>
          <w:tcPr>
            <w:tcW w:w="990" w:type="dxa"/>
            <w:vMerge w:val="continue"/>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p>
        </w:tc>
        <w:tc>
          <w:tcPr>
            <w:tcW w:w="2550"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zh-CN" w:bidi="ar-SA"/>
              </w:rPr>
            </w:pPr>
            <w:r>
              <w:rPr>
                <w:rFonts w:ascii="Arial" w:hAnsi="Arial" w:eastAsia="宋体" w:cs="Arial"/>
                <w:sz w:val="21"/>
                <w:szCs w:val="21"/>
                <w:highlight w:val="none"/>
                <w:lang w:val="en-US" w:eastAsia="zh-CN" w:bidi="ar-SA"/>
              </w:rPr>
              <w:t xml:space="preserve"> </w:t>
            </w:r>
            <w:r>
              <w:rPr>
                <w:rFonts w:hint="eastAsia" w:ascii="Arial" w:hAnsi="Arial" w:eastAsia="宋体" w:cs="Arial"/>
                <w:sz w:val="21"/>
                <w:szCs w:val="21"/>
                <w:highlight w:val="none"/>
                <w:lang w:val="en-US" w:eastAsia="zh-CN" w:bidi="ar-SA"/>
              </w:rPr>
              <w:t xml:space="preserve"> 堆场条件   </w:t>
            </w:r>
          </w:p>
        </w:tc>
        <w:tc>
          <w:tcPr>
            <w:tcW w:w="3780" w:type="dxa"/>
            <w:tcBorders>
              <w:tl2br w:val="nil"/>
              <w:tr2bl w:val="nil"/>
            </w:tcBorders>
            <w:noWrap w:val="0"/>
            <w:vAlign w:val="center"/>
          </w:tcPr>
          <w:p>
            <w:pPr>
              <w:widowControl w:val="0"/>
              <w:spacing w:after="160" w:line="0" w:lineRule="atLeast"/>
              <w:jc w:val="left"/>
              <w:rPr>
                <w:rFonts w:ascii="Arial" w:hAnsi="Arial" w:eastAsia="宋体" w:cs="Arial"/>
                <w:sz w:val="21"/>
                <w:szCs w:val="21"/>
                <w:highlight w:val="none"/>
                <w:lang w:val="en-US" w:eastAsia="zh-CN" w:bidi="ar-SA"/>
              </w:rPr>
            </w:pPr>
            <w:r>
              <w:rPr>
                <w:rFonts w:ascii="Arial" w:hAnsi="Arial" w:eastAsia="宋体" w:cs="Arial"/>
                <w:sz w:val="21"/>
                <w:szCs w:val="21"/>
                <w:highlight w:val="none"/>
                <w:lang w:val="en-US" w:eastAsia="zh-CN" w:bidi="ar-SA"/>
              </w:rPr>
              <w:t xml:space="preserve"> </w:t>
            </w:r>
            <w:r>
              <w:rPr>
                <w:rFonts w:hint="eastAsia" w:ascii="Arial" w:hAnsi="Arial" w:eastAsia="宋体" w:cs="Arial"/>
                <w:sz w:val="21"/>
                <w:szCs w:val="21"/>
                <w:highlight w:val="none"/>
                <w:lang w:val="en-US" w:eastAsia="zh-CN" w:bidi="ar-SA"/>
              </w:rPr>
              <w:t>对客户自有或者租用的堆场进行评价。包括堆场面积、堆场情况（密闭、有大棚及院墙、地面做硬化处理）。评分结果分为A～D四个档</w:t>
            </w:r>
          </w:p>
        </w:tc>
        <w:tc>
          <w:tcPr>
            <w:tcW w:w="898" w:type="dxa"/>
            <w:tcBorders>
              <w:tl2br w:val="nil"/>
              <w:tr2bl w:val="nil"/>
            </w:tcBorders>
            <w:noWrap w:val="0"/>
            <w:vAlign w:val="center"/>
          </w:tcPr>
          <w:p>
            <w:pPr>
              <w:widowControl w:val="0"/>
              <w:spacing w:after="160" w:line="0" w:lineRule="atLeast"/>
              <w:jc w:val="center"/>
              <w:rPr>
                <w:rFonts w:ascii="Arial" w:hAnsi="Arial" w:eastAsia="宋体" w:cs="Arial"/>
                <w:sz w:val="21"/>
                <w:szCs w:val="21"/>
                <w:highlight w:val="none"/>
                <w:lang w:val="en-US" w:eastAsia="en-US" w:bidi="ar-SA"/>
              </w:rPr>
            </w:pPr>
            <w:r>
              <w:rPr>
                <w:rFonts w:hint="eastAsia" w:ascii="Arial" w:hAnsi="Arial" w:eastAsia="宋体" w:cs="Arial"/>
                <w:sz w:val="21"/>
                <w:szCs w:val="21"/>
                <w:highlight w:val="none"/>
                <w:lang w:val="en-US" w:eastAsia="zh-CN" w:bidi="ar-SA"/>
              </w:rPr>
              <w:t>10</w:t>
            </w:r>
            <w:r>
              <w:rPr>
                <w:rFonts w:ascii="Arial" w:hAnsi="Arial" w:eastAsia="宋体" w:cs="Arial"/>
                <w:sz w:val="21"/>
                <w:szCs w:val="21"/>
                <w:highlight w:val="none"/>
                <w:lang w:val="en-US" w:eastAsia="en-US" w:bidi="ar-SA"/>
              </w:rPr>
              <w:t>%</w:t>
            </w:r>
          </w:p>
        </w:tc>
      </w:tr>
    </w:tbl>
    <w:p/>
    <w:sectPr>
      <w:pgSz w:w="11906" w:h="16838"/>
      <w:pgMar w:top="2098" w:right="1474" w:bottom="1984" w:left="158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192F98"/>
    <w:rsid w:val="0BEC4A75"/>
    <w:rsid w:val="1D110216"/>
    <w:rsid w:val="21D9016F"/>
    <w:rsid w:val="21F55E89"/>
    <w:rsid w:val="269466AF"/>
    <w:rsid w:val="2915731B"/>
    <w:rsid w:val="2BBD0B49"/>
    <w:rsid w:val="2E627030"/>
    <w:rsid w:val="319A79E0"/>
    <w:rsid w:val="351C510F"/>
    <w:rsid w:val="4A827126"/>
    <w:rsid w:val="543177E2"/>
    <w:rsid w:val="55A84A37"/>
    <w:rsid w:val="63A47847"/>
    <w:rsid w:val="685635C5"/>
    <w:rsid w:val="744137BC"/>
    <w:rsid w:val="774F6109"/>
    <w:rsid w:val="77960198"/>
    <w:rsid w:val="7D2B6540"/>
    <w:rsid w:val="7FF93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eastAsia="方正小标宋简体"/>
      <w:kern w:val="44"/>
      <w:sz w:val="44"/>
      <w:szCs w:val="44"/>
    </w:rPr>
  </w:style>
  <w:style w:type="paragraph" w:styleId="4">
    <w:name w:val="heading 2"/>
    <w:basedOn w:val="1"/>
    <w:next w:val="1"/>
    <w:link w:val="9"/>
    <w:semiHidden/>
    <w:unhideWhenUsed/>
    <w:qFormat/>
    <w:uiPriority w:val="0"/>
    <w:pPr>
      <w:keepNext w:val="0"/>
      <w:keepLines w:val="0"/>
      <w:spacing w:beforeLines="0" w:beforeAutospacing="0" w:afterLines="0" w:afterAutospacing="0" w:line="360" w:lineRule="auto"/>
      <w:ind w:firstLine="640" w:firstLineChars="200"/>
      <w:outlineLvl w:val="1"/>
    </w:pPr>
    <w:rPr>
      <w:rFonts w:eastAsia="黑体"/>
    </w:rPr>
  </w:style>
  <w:style w:type="paragraph" w:styleId="5">
    <w:name w:val="heading 3"/>
    <w:basedOn w:val="1"/>
    <w:next w:val="1"/>
    <w:link w:val="8"/>
    <w:semiHidden/>
    <w:unhideWhenUsed/>
    <w:qFormat/>
    <w:uiPriority w:val="0"/>
    <w:pPr>
      <w:keepNext/>
      <w:keepLines/>
      <w:spacing w:beforeLines="0" w:beforeAutospacing="0" w:afterLines="0" w:afterAutospacing="0" w:line="560" w:lineRule="exact"/>
      <w:ind w:firstLine="880" w:firstLineChars="200"/>
      <w:outlineLvl w:val="2"/>
    </w:pPr>
    <w:rPr>
      <w:rFonts w:ascii="Times New Roman" w:hAnsi="Times New Roman" w:eastAsia="楷体_GB2312" w:cs="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8">
    <w:name w:val="标题 3 Char"/>
    <w:link w:val="5"/>
    <w:qFormat/>
    <w:uiPriority w:val="0"/>
    <w:rPr>
      <w:rFonts w:ascii="Times New Roman" w:hAnsi="Times New Roman" w:eastAsia="楷体_GB2312" w:cs="Times New Roman"/>
    </w:rPr>
  </w:style>
  <w:style w:type="character" w:customStyle="1" w:styleId="9">
    <w:name w:val="标题 2 Char"/>
    <w:link w:val="4"/>
    <w:qFormat/>
    <w:uiPriority w:val="0"/>
    <w:rPr>
      <w:rFonts w:ascii="Times New Roman" w:hAnsi="Times New Roman"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2025-04-17T02:49:00Z</dcterms:created>
  <dc:creator>邱文峰</dc:creator>
  <cp:lastModifiedBy>邱文峰</cp:lastModifiedBy>
  <dcterms:modified xsi:type="dcterms:W3CDTF">2025-04-17T02:51:26Z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28556219EBC94280B8DBB5F2294E78AD</vt:lpwstr>
  </property>
</Properties>
</file>